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D27" w:rsidRDefault="00414BC0" w:rsidP="00B82466">
      <w:pPr>
        <w:jc w:val="center"/>
        <w:rPr>
          <w:b/>
        </w:rPr>
      </w:pPr>
      <w:r w:rsidRPr="00414BC0">
        <w:rPr>
          <w:b/>
        </w:rPr>
        <w:t>ACUERDO por el que se emiten las Principales Reglas de Registro y Valoración del Patrimonio (Elementos Generales)</w:t>
      </w:r>
    </w:p>
    <w:p w:rsidR="00B82466" w:rsidRPr="00414BC0" w:rsidRDefault="00B82466" w:rsidP="00414BC0">
      <w:pPr>
        <w:jc w:val="center"/>
        <w:rPr>
          <w:b/>
        </w:rPr>
      </w:pPr>
      <w:r>
        <w:rPr>
          <w:b/>
        </w:rPr>
        <w:t>(D. O. F. 27 de diciembre de 2010)</w:t>
      </w:r>
    </w:p>
    <w:p w:rsidR="00414BC0" w:rsidRDefault="00414BC0"/>
    <w:p w:rsidR="00414BC0" w:rsidRDefault="00414BC0">
      <w:r>
        <w:t xml:space="preserve">Estas Reglas fueron desarrolladas de acuerdo a criterios técnicos utilizados en las mejores prácticas nacionales e internacionales, entre las que destacan: </w:t>
      </w:r>
    </w:p>
    <w:p w:rsidR="00414BC0" w:rsidRDefault="00414BC0" w:rsidP="001A4A62">
      <w:pPr>
        <w:pStyle w:val="Prrafodelista"/>
        <w:numPr>
          <w:ilvl w:val="0"/>
          <w:numId w:val="3"/>
        </w:numPr>
      </w:pPr>
      <w:r>
        <w:t>Norma de Información Financiera NIF-A</w:t>
      </w:r>
      <w:r w:rsidR="009D6FA4">
        <w:t>5</w:t>
      </w:r>
      <w:r>
        <w:t>, “Elementos Básicos de los estados financieros”</w:t>
      </w:r>
    </w:p>
    <w:p w:rsidR="00414BC0" w:rsidRDefault="009D6FA4" w:rsidP="001A4A62">
      <w:pPr>
        <w:pStyle w:val="Prrafodelista"/>
        <w:numPr>
          <w:ilvl w:val="0"/>
          <w:numId w:val="3"/>
        </w:numPr>
      </w:pPr>
      <w:r>
        <w:t>Norma de Información Financiera NIF A-6, “Reconocimiento y Valuación”, y</w:t>
      </w:r>
    </w:p>
    <w:p w:rsidR="009D6FA4" w:rsidRDefault="009D6FA4" w:rsidP="009D6FA4">
      <w:r>
        <w:t>Las Normas Internacionales de Contabilidad para el Sector Público (IPSAS) 17- Propiedades, planta y equipo.</w:t>
      </w:r>
    </w:p>
    <w:p w:rsidR="009D6FA4" w:rsidRDefault="009D6FA4" w:rsidP="009D6FA4">
      <w:r w:rsidRPr="001A4A62">
        <w:rPr>
          <w:b/>
        </w:rPr>
        <w:t>PRINCIPAL CONTENIDO</w:t>
      </w:r>
      <w:r>
        <w:t xml:space="preserve"> </w:t>
      </w:r>
      <w:r w:rsidRPr="001A4A62">
        <w:rPr>
          <w:b/>
        </w:rPr>
        <w:t>del Acuerdo:</w:t>
      </w:r>
    </w:p>
    <w:p w:rsidR="009D6FA4" w:rsidRDefault="009D6FA4" w:rsidP="009D6FA4">
      <w:pPr>
        <w:pStyle w:val="Prrafodelista"/>
        <w:numPr>
          <w:ilvl w:val="0"/>
          <w:numId w:val="2"/>
        </w:numPr>
      </w:pPr>
      <w:r>
        <w:t>Definiciones y elementos del Activo, Pasivo y Hacienda Pública/Patrimonio</w:t>
      </w:r>
    </w:p>
    <w:p w:rsidR="009D6FA4" w:rsidRDefault="009D6FA4" w:rsidP="009D6FA4">
      <w:pPr>
        <w:pStyle w:val="Prrafodelista"/>
        <w:numPr>
          <w:ilvl w:val="0"/>
          <w:numId w:val="2"/>
        </w:numPr>
      </w:pPr>
      <w:r>
        <w:t>Valores de Activos y Pasivos</w:t>
      </w:r>
    </w:p>
    <w:p w:rsidR="00B82466" w:rsidRDefault="00DB3561" w:rsidP="00B82466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99695</wp:posOffset>
                </wp:positionV>
                <wp:extent cx="5581650" cy="38100"/>
                <wp:effectExtent l="0" t="0" r="19050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38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C8EBDC" id="Conector rec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7.85pt" to="439.2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:rsidR="009D6FA4" w:rsidRPr="00B82466" w:rsidRDefault="00B82466" w:rsidP="00B82466">
      <w:pPr>
        <w:jc w:val="center"/>
        <w:rPr>
          <w:b/>
        </w:rPr>
      </w:pPr>
      <w:r w:rsidRPr="00B82466">
        <w:rPr>
          <w:b/>
        </w:rPr>
        <w:t xml:space="preserve">ACUERDO por el que se emiten las </w:t>
      </w:r>
      <w:r w:rsidRPr="00B82466">
        <w:t>Reglas Específicas</w:t>
      </w:r>
      <w:r w:rsidRPr="00B82466">
        <w:rPr>
          <w:b/>
        </w:rPr>
        <w:t xml:space="preserve"> </w:t>
      </w:r>
      <w:r>
        <w:rPr>
          <w:b/>
        </w:rPr>
        <w:t>del R</w:t>
      </w:r>
      <w:r w:rsidRPr="00B82466">
        <w:rPr>
          <w:b/>
        </w:rPr>
        <w:t xml:space="preserve">egistro y Valoración del </w:t>
      </w:r>
      <w:r>
        <w:rPr>
          <w:b/>
        </w:rPr>
        <w:t>P</w:t>
      </w:r>
      <w:r w:rsidRPr="00B82466">
        <w:rPr>
          <w:b/>
        </w:rPr>
        <w:t>atrimonio</w:t>
      </w:r>
    </w:p>
    <w:p w:rsidR="009D6FA4" w:rsidRDefault="00B82466" w:rsidP="00B82466">
      <w:pPr>
        <w:pStyle w:val="Prrafodelista"/>
        <w:jc w:val="center"/>
        <w:rPr>
          <w:b/>
        </w:rPr>
      </w:pPr>
      <w:r w:rsidRPr="00B82466">
        <w:rPr>
          <w:b/>
        </w:rPr>
        <w:t>(D. O. F. 13 diciembre de 2011)</w:t>
      </w:r>
    </w:p>
    <w:p w:rsidR="008D31C5" w:rsidRDefault="00DB3561" w:rsidP="00B82466">
      <w:pPr>
        <w:pStyle w:val="Prrafodelista"/>
        <w:jc w:val="center"/>
        <w:rPr>
          <w:b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8D96AA" wp14:editId="16D9C55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581650" cy="38100"/>
                <wp:effectExtent l="0" t="0" r="19050" b="1905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38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40EC68" id="Conector recto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39.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" strokecolor="windowText" strokeweight=".5pt">
                <v:stroke joinstyle="miter"/>
              </v:line>
            </w:pict>
          </mc:Fallback>
        </mc:AlternateContent>
      </w:r>
    </w:p>
    <w:p w:rsidR="008D31C5" w:rsidRDefault="008D31C5" w:rsidP="008D31C5">
      <w:pPr>
        <w:jc w:val="both"/>
      </w:pPr>
      <w:r w:rsidRPr="008D31C5">
        <w:t>Establece las características y el alcance de los elementos de la hacienda pública/patrimonio, los cuales se dividen en jurídicos y contables</w:t>
      </w:r>
      <w:r>
        <w:t>.</w:t>
      </w:r>
    </w:p>
    <w:p w:rsidR="008D31C5" w:rsidRDefault="008D31C5" w:rsidP="008D31C5">
      <w:r>
        <w:t xml:space="preserve">Se elaboró </w:t>
      </w:r>
      <w:r w:rsidR="00724FA2">
        <w:t>conforme</w:t>
      </w:r>
      <w:r>
        <w:t xml:space="preserve"> a los criterios técnicos utilizados en las mejores prácticas nacionales e internacionales, entre las que destacan las Normas de Información Financiera:</w:t>
      </w:r>
    </w:p>
    <w:p w:rsidR="008D31C5" w:rsidRDefault="008D31C5" w:rsidP="008D31C5">
      <w:pPr>
        <w:pStyle w:val="Prrafodelista"/>
        <w:numPr>
          <w:ilvl w:val="0"/>
          <w:numId w:val="3"/>
        </w:numPr>
      </w:pPr>
      <w:r>
        <w:t xml:space="preserve">NIF A-5, </w:t>
      </w:r>
      <w:r>
        <w:t>“Elementos Básicos de los estados financieros”</w:t>
      </w:r>
    </w:p>
    <w:p w:rsidR="008D31C5" w:rsidRPr="008D31C5" w:rsidRDefault="008D31C5" w:rsidP="008D31C5">
      <w:pPr>
        <w:pStyle w:val="Prrafodelista"/>
        <w:numPr>
          <w:ilvl w:val="0"/>
          <w:numId w:val="3"/>
        </w:numPr>
        <w:jc w:val="both"/>
        <w:rPr>
          <w:b/>
        </w:rPr>
      </w:pPr>
      <w:r>
        <w:t xml:space="preserve">NIF A-6, </w:t>
      </w:r>
      <w:r>
        <w:t>“Reconocimiento y Valuación”</w:t>
      </w:r>
    </w:p>
    <w:p w:rsidR="008D31C5" w:rsidRDefault="008D31C5" w:rsidP="008D31C5">
      <w:pPr>
        <w:jc w:val="both"/>
        <w:rPr>
          <w:b/>
        </w:rPr>
      </w:pPr>
      <w:r>
        <w:rPr>
          <w:b/>
        </w:rPr>
        <w:t>Algunas definiciones contenidas en el Acuerdo:</w:t>
      </w:r>
    </w:p>
    <w:p w:rsidR="008D31C5" w:rsidRDefault="008D31C5" w:rsidP="00DB3561">
      <w:pPr>
        <w:pStyle w:val="Prrafodelista"/>
        <w:numPr>
          <w:ilvl w:val="0"/>
          <w:numId w:val="4"/>
        </w:numPr>
        <w:jc w:val="both"/>
        <w:rPr>
          <w:i/>
        </w:rPr>
      </w:pPr>
      <w:r w:rsidRPr="00DB3561">
        <w:rPr>
          <w:i/>
        </w:rPr>
        <w:t xml:space="preserve">El </w:t>
      </w:r>
      <w:r w:rsidRPr="00DB3561">
        <w:rPr>
          <w:b/>
          <w:i/>
        </w:rPr>
        <w:t>Valor de Adquisición</w:t>
      </w:r>
      <w:r w:rsidRPr="00DB3561">
        <w:rPr>
          <w:i/>
        </w:rPr>
        <w:t xml:space="preserve"> comprenderá el precio de compra, incluyendo aranceles de importación y otros impuestos (que no sean recuperables), la transportación, el almacenamiento y otros gastos directamente aplicables, incluyendo los importes derivados del Impuesto al Valor Agregado, en aquellos casos que no sea acreditable.</w:t>
      </w:r>
    </w:p>
    <w:p w:rsidR="00DB3561" w:rsidRPr="00DB3561" w:rsidRDefault="00DB3561" w:rsidP="00DB3561">
      <w:pPr>
        <w:pStyle w:val="Prrafodelista"/>
        <w:jc w:val="both"/>
        <w:rPr>
          <w:i/>
        </w:rPr>
      </w:pPr>
    </w:p>
    <w:p w:rsidR="008D31C5" w:rsidRDefault="00DB3561" w:rsidP="00DB3561">
      <w:pPr>
        <w:pStyle w:val="Prrafodelista"/>
        <w:numPr>
          <w:ilvl w:val="0"/>
          <w:numId w:val="4"/>
        </w:numPr>
        <w:jc w:val="both"/>
        <w:rPr>
          <w:b/>
          <w:i/>
        </w:rPr>
      </w:pPr>
      <w:r w:rsidRPr="00DB3561">
        <w:rPr>
          <w:i/>
        </w:rPr>
        <w:t xml:space="preserve">Al elaborar estados financieros pueden descubrirse errores surgidos en ejercicios anteriores, que son el resultados de omisiones o inexactitudes resultantes de fallos al emplear o utilizar información confiable, que estaba disponible cuando las cuentas anuales para tales periodos fueron formuladas y el ente público debería haber empleado en la elaboración de dichos estados. </w:t>
      </w:r>
      <w:r w:rsidRPr="00DB3561">
        <w:rPr>
          <w:b/>
          <w:i/>
        </w:rPr>
        <w:t>Se considerará que el error debe ser aplicado en resultados de ejercicios anteriores.</w:t>
      </w:r>
    </w:p>
    <w:p w:rsidR="00724FA2" w:rsidRPr="00724FA2" w:rsidRDefault="00724FA2" w:rsidP="00724FA2">
      <w:pPr>
        <w:pStyle w:val="Prrafodelista"/>
        <w:rPr>
          <w:b/>
          <w:i/>
        </w:rPr>
      </w:pPr>
    </w:p>
    <w:p w:rsidR="00724FA2" w:rsidRDefault="00724FA2" w:rsidP="008D776F">
      <w:pPr>
        <w:pStyle w:val="Prrafodelista"/>
        <w:numPr>
          <w:ilvl w:val="0"/>
          <w:numId w:val="4"/>
        </w:numPr>
        <w:jc w:val="both"/>
        <w:rPr>
          <w:i/>
        </w:rPr>
      </w:pPr>
      <w:r w:rsidRPr="00724FA2">
        <w:rPr>
          <w:i/>
        </w:rPr>
        <w:lastRenderedPageBreak/>
        <w:t xml:space="preserve">Los bienes muebles e intangibles cuyo </w:t>
      </w:r>
      <w:r w:rsidRPr="008D776F">
        <w:rPr>
          <w:b/>
          <w:i/>
        </w:rPr>
        <w:t xml:space="preserve">costo unitario de adquisición sea menor a 35 días de salario mínimo </w:t>
      </w:r>
      <w:r w:rsidRPr="00724FA2">
        <w:rPr>
          <w:i/>
        </w:rPr>
        <w:t>vigente en el Distrito Federal, podrán registrarse contablemente como un gasto y serán sujetos a los controles correspondientes.</w:t>
      </w:r>
      <w:r w:rsidR="008D776F">
        <w:rPr>
          <w:i/>
        </w:rPr>
        <w:t xml:space="preserve"> ($ </w:t>
      </w:r>
      <w:r w:rsidR="008D776F" w:rsidRPr="008D776F">
        <w:rPr>
          <w:i/>
        </w:rPr>
        <w:t>2</w:t>
      </w:r>
      <w:r w:rsidR="008D776F">
        <w:rPr>
          <w:i/>
        </w:rPr>
        <w:t xml:space="preserve">, </w:t>
      </w:r>
      <w:r w:rsidR="008D776F" w:rsidRPr="008D776F">
        <w:rPr>
          <w:i/>
        </w:rPr>
        <w:t>266.6</w:t>
      </w:r>
      <w:r w:rsidR="008D776F">
        <w:rPr>
          <w:i/>
        </w:rPr>
        <w:t>0) $ 64.76 SMD.</w:t>
      </w:r>
    </w:p>
    <w:p w:rsidR="008D776F" w:rsidRPr="008D776F" w:rsidRDefault="008D776F" w:rsidP="008D776F">
      <w:pPr>
        <w:pStyle w:val="Prrafodelista"/>
        <w:rPr>
          <w:i/>
        </w:rPr>
      </w:pPr>
    </w:p>
    <w:p w:rsidR="008D776F" w:rsidRPr="00724FA2" w:rsidRDefault="00CC3E11" w:rsidP="008D776F">
      <w:pPr>
        <w:pStyle w:val="Prrafodelista"/>
        <w:numPr>
          <w:ilvl w:val="0"/>
          <w:numId w:val="4"/>
        </w:numPr>
        <w:jc w:val="both"/>
        <w:rPr>
          <w:i/>
        </w:rPr>
      </w:pPr>
      <w:r>
        <w:rPr>
          <w:i/>
        </w:rPr>
        <w:t xml:space="preserve">Los bienes muebles e inmuebles que hayan sido objeto de </w:t>
      </w:r>
      <w:r w:rsidRPr="00836A7E">
        <w:rPr>
          <w:b/>
          <w:i/>
        </w:rPr>
        <w:t>venta o disposición por otra vía,</w:t>
      </w:r>
      <w:r>
        <w:rPr>
          <w:i/>
        </w:rPr>
        <w:t xml:space="preserve"> debe ser dado de baja de los estados financieros, asimismo, debe cancelarse la depreciación </w:t>
      </w:r>
      <w:r w:rsidR="00836A7E">
        <w:rPr>
          <w:i/>
        </w:rPr>
        <w:t>acumulada</w:t>
      </w:r>
      <w:r w:rsidR="00836A7E">
        <w:rPr>
          <w:i/>
        </w:rPr>
        <w:t xml:space="preserve"> </w:t>
      </w:r>
      <w:r>
        <w:rPr>
          <w:i/>
        </w:rPr>
        <w:t>que tenga</w:t>
      </w:r>
      <w:r w:rsidR="00836A7E">
        <w:rPr>
          <w:i/>
        </w:rPr>
        <w:t>n dichos bienes</w:t>
      </w:r>
      <w:r>
        <w:rPr>
          <w:i/>
        </w:rPr>
        <w:t xml:space="preserve">. </w:t>
      </w:r>
    </w:p>
    <w:p w:rsidR="00836A7E" w:rsidRDefault="00836A7E" w:rsidP="00836A7E">
      <w:pPr>
        <w:pStyle w:val="Prrafodelista"/>
      </w:pPr>
    </w:p>
    <w:p w:rsidR="00414BC0" w:rsidRPr="00836A7E" w:rsidRDefault="00836A7E" w:rsidP="00836A7E">
      <w:pPr>
        <w:pStyle w:val="Prrafodelista"/>
        <w:numPr>
          <w:ilvl w:val="0"/>
          <w:numId w:val="4"/>
        </w:numPr>
        <w:rPr>
          <w:i/>
        </w:rPr>
      </w:pPr>
      <w:r w:rsidRPr="00836A7E">
        <w:rPr>
          <w:i/>
        </w:rPr>
        <w:t xml:space="preserve">Los </w:t>
      </w:r>
      <w:r w:rsidRPr="00836A7E">
        <w:rPr>
          <w:b/>
          <w:i/>
        </w:rPr>
        <w:t>bienes que no tengan un valor de adquisición o sobrantes</w:t>
      </w:r>
      <w:r w:rsidRPr="00836A7E">
        <w:rPr>
          <w:i/>
        </w:rPr>
        <w:t>, podrá ser asignado para registro contable, considerando el valor de otros bienes con características similares, o el que se obtenga a través de otros m</w:t>
      </w:r>
      <w:bookmarkStart w:id="0" w:name="_GoBack"/>
      <w:bookmarkEnd w:id="0"/>
      <w:r w:rsidRPr="00836A7E">
        <w:rPr>
          <w:i/>
        </w:rPr>
        <w:t xml:space="preserve">ecanismos que se juzgue pertinentes. </w:t>
      </w:r>
    </w:p>
    <w:sectPr w:rsidR="00414BC0" w:rsidRPr="00836A7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43038"/>
    <w:multiLevelType w:val="hybridMultilevel"/>
    <w:tmpl w:val="3A7899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607833"/>
    <w:multiLevelType w:val="hybridMultilevel"/>
    <w:tmpl w:val="7978822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CA7BA7"/>
    <w:multiLevelType w:val="hybridMultilevel"/>
    <w:tmpl w:val="B92A001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141AAE"/>
    <w:multiLevelType w:val="hybridMultilevel"/>
    <w:tmpl w:val="81A86B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BC0"/>
    <w:rsid w:val="001A4A62"/>
    <w:rsid w:val="00414BC0"/>
    <w:rsid w:val="00724FA2"/>
    <w:rsid w:val="00836A7E"/>
    <w:rsid w:val="008D31C5"/>
    <w:rsid w:val="008D776F"/>
    <w:rsid w:val="009D6FA4"/>
    <w:rsid w:val="00B82466"/>
    <w:rsid w:val="00BD134B"/>
    <w:rsid w:val="00CC3E11"/>
    <w:rsid w:val="00DB3561"/>
    <w:rsid w:val="00E34AD2"/>
    <w:rsid w:val="00E5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122744-CD28-459E-A778-406D382FA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14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433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Rodríguez Botello</dc:creator>
  <cp:keywords/>
  <dc:description/>
  <cp:lastModifiedBy>Roberto Rodríguez Botello</cp:lastModifiedBy>
  <cp:revision>1</cp:revision>
  <dcterms:created xsi:type="dcterms:W3CDTF">2013-08-06T15:50:00Z</dcterms:created>
  <dcterms:modified xsi:type="dcterms:W3CDTF">2013-08-06T17:56:00Z</dcterms:modified>
</cp:coreProperties>
</file>